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AEBB" w14:textId="1B93F398" w:rsidR="00B564F3" w:rsidRPr="0059152E" w:rsidRDefault="0059152E" w:rsidP="00D031E2">
      <w:pPr>
        <w:jc w:val="both"/>
        <w:rPr>
          <w:b/>
          <w:bCs/>
          <w:u w:val="single"/>
        </w:rPr>
      </w:pPr>
      <w:r w:rsidRPr="0059152E">
        <w:rPr>
          <w:b/>
          <w:bCs/>
          <w:u w:val="single"/>
        </w:rPr>
        <w:t>NOTA SULLA BOZZA DI ALLEGATO ALLA DGR BONIFICHE</w:t>
      </w:r>
    </w:p>
    <w:p w14:paraId="4B8571F9" w14:textId="5349A8F2" w:rsidR="004C52B9" w:rsidRDefault="00B564F3" w:rsidP="00D031E2">
      <w:pPr>
        <w:jc w:val="both"/>
      </w:pPr>
      <w:r>
        <w:t xml:space="preserve">La delibera è intesa a disciplinare le modalità </w:t>
      </w:r>
      <w:r w:rsidR="004C3841">
        <w:t>di esercizio da parte di Regione Lombardia del</w:t>
      </w:r>
      <w:r w:rsidR="008112CE" w:rsidRPr="008112CE">
        <w:t>le funzioni di indirizzo, coordinamento, controllo e supporto tecnico-amministrativo</w:t>
      </w:r>
      <w:r>
        <w:t xml:space="preserve"> riferit</w:t>
      </w:r>
      <w:r w:rsidR="008112CE">
        <w:t>e</w:t>
      </w:r>
      <w:r>
        <w:t xml:space="preserve"> al conferimento ai Comuni delle funzioni amministrative nel campo delle bonifiche</w:t>
      </w:r>
      <w:r w:rsidR="008112CE">
        <w:t>, avvenuto con l.r. 3/2023</w:t>
      </w:r>
      <w:r w:rsidR="004C3841">
        <w:t xml:space="preserve"> il cui ambito d’a</w:t>
      </w:r>
      <w:r w:rsidR="008112CE">
        <w:t>zione è quello dei procedimenti ex art. 242 e 242 bis del D. Lgs 152/2006.</w:t>
      </w:r>
    </w:p>
    <w:p w14:paraId="0EC2E4A5" w14:textId="177E2E44" w:rsidR="004C52B9" w:rsidRPr="0059152E" w:rsidRDefault="008112CE" w:rsidP="00D031E2">
      <w:pPr>
        <w:jc w:val="both"/>
        <w:rPr>
          <w:b/>
          <w:bCs/>
          <w:u w:val="single"/>
        </w:rPr>
      </w:pPr>
      <w:r w:rsidRPr="0059152E">
        <w:rPr>
          <w:b/>
          <w:bCs/>
          <w:u w:val="single"/>
        </w:rPr>
        <w:t>Osservazioni</w:t>
      </w:r>
      <w:r w:rsidR="00566240">
        <w:rPr>
          <w:b/>
          <w:bCs/>
          <w:u w:val="single"/>
        </w:rPr>
        <w:t xml:space="preserve"> (i titoli, tranne l’ultimo, si riferiscono ai paragrafi della bozza)</w:t>
      </w:r>
    </w:p>
    <w:p w14:paraId="3222F615" w14:textId="7CBE2F56" w:rsidR="008112CE" w:rsidRPr="0059152E" w:rsidRDefault="0059152E" w:rsidP="00D031E2">
      <w:pPr>
        <w:jc w:val="both"/>
        <w:rPr>
          <w:b/>
          <w:bCs/>
        </w:rPr>
      </w:pPr>
      <w:r>
        <w:rPr>
          <w:b/>
          <w:bCs/>
        </w:rPr>
        <w:t>S</w:t>
      </w:r>
      <w:r w:rsidR="008112CE" w:rsidRPr="0059152E">
        <w:rPr>
          <w:b/>
          <w:bCs/>
        </w:rPr>
        <w:t>trumentazione di riferimento</w:t>
      </w:r>
    </w:p>
    <w:p w14:paraId="264A04B4" w14:textId="5DA3FD2C" w:rsidR="008112CE" w:rsidRDefault="0059152E" w:rsidP="00D031E2">
      <w:pPr>
        <w:jc w:val="both"/>
      </w:pPr>
      <w:r>
        <w:t>S</w:t>
      </w:r>
      <w:r w:rsidR="008112CE">
        <w:t>i vedano le osservazioni al paragrafo “Supporto tecnico amministrativo”</w:t>
      </w:r>
      <w:r>
        <w:t>, in cui sono ripresi ed ampliati i contenuti di questo paragrafo.</w:t>
      </w:r>
    </w:p>
    <w:p w14:paraId="1D13E256" w14:textId="2BDEB966" w:rsidR="004C52B9" w:rsidRPr="0059152E" w:rsidRDefault="00E10B9C" w:rsidP="00D031E2">
      <w:pPr>
        <w:jc w:val="both"/>
        <w:rPr>
          <w:b/>
          <w:bCs/>
        </w:rPr>
      </w:pPr>
      <w:r w:rsidRPr="0059152E">
        <w:rPr>
          <w:b/>
          <w:bCs/>
        </w:rPr>
        <w:t>Funzioni di indirizzo e coordinamento</w:t>
      </w:r>
    </w:p>
    <w:p w14:paraId="5C67CF0D" w14:textId="4BEB58C0" w:rsidR="00E10B9C" w:rsidRDefault="0059152E" w:rsidP="00D031E2">
      <w:pPr>
        <w:jc w:val="both"/>
      </w:pPr>
      <w:r>
        <w:t>Il testo descrive le modalità con cui Regione esercita le proprie funzioni di indirizzo e coordinamento e vengono accennati temi legati ai Comuni che verranno meglio ripresi nel paragrafo “</w:t>
      </w:r>
      <w:r>
        <w:t>Supporto tecnico amministrativo”</w:t>
      </w:r>
      <w:r>
        <w:t>.</w:t>
      </w:r>
      <w:r w:rsidR="004C3841">
        <w:t xml:space="preserve"> Si rilevano i seguenti aspetti:</w:t>
      </w:r>
    </w:p>
    <w:p w14:paraId="07606C0D" w14:textId="586BE687" w:rsidR="0059152E" w:rsidRDefault="0059152E" w:rsidP="004C3841">
      <w:pPr>
        <w:pStyle w:val="Paragrafoelenco"/>
        <w:numPr>
          <w:ilvl w:val="0"/>
          <w:numId w:val="9"/>
        </w:numPr>
        <w:jc w:val="both"/>
      </w:pPr>
      <w:r>
        <w:t>Non si hanno osservazioni sulle procedure che Regione Lombardia ha preso per attuare il proprio ruolo; si ritiene opportuno però esplicitare che atti di indirizzo e coordinamento saranno fatti oggetto di presentazione preventiva allo specifico Tavolo bonifiche dell’OECTE e/o al tavolo permanente di confronto con Province, ANCI ed enti SIREG.</w:t>
      </w:r>
    </w:p>
    <w:p w14:paraId="59CC1EE0" w14:textId="7F774C5B" w:rsidR="00753A2D" w:rsidRDefault="0059152E" w:rsidP="00D031E2">
      <w:pPr>
        <w:pStyle w:val="Paragrafoelenco"/>
        <w:numPr>
          <w:ilvl w:val="0"/>
          <w:numId w:val="9"/>
        </w:numPr>
        <w:spacing w:after="0" w:line="276" w:lineRule="auto"/>
        <w:jc w:val="both"/>
      </w:pPr>
      <w:r>
        <w:t>Andrebbe meglio definito cosa si intende con la frase “</w:t>
      </w:r>
      <w:r w:rsidR="00E10B9C" w:rsidRPr="004C3841">
        <w:rPr>
          <w:i/>
          <w:iCs/>
        </w:rPr>
        <w:t>I Comuni possono contare anche sull’interlocuzione diretta con gli uffici regionali e con gli uffici degli enti del sistema regionale per la messa a punto delle azioni necessarie alle attività di bonifica dei plume di contaminazione nelle acque sotterranee e per la risoluzione delle problematiche riguardanti le situazioni di inquinamento diffuso del territorio</w:t>
      </w:r>
      <w:r w:rsidR="00804DA5">
        <w:t>; i</w:t>
      </w:r>
      <w:r>
        <w:t xml:space="preserve"> plume di contaminazione </w:t>
      </w:r>
      <w:r w:rsidR="00804DA5">
        <w:t xml:space="preserve">delle falde </w:t>
      </w:r>
      <w:r>
        <w:t>sono elementi in cui il confine amministrativo è privo di significato</w:t>
      </w:r>
      <w:r w:rsidR="00753A2D">
        <w:t xml:space="preserve"> e in genere interessano territori ampi</w:t>
      </w:r>
      <w:r>
        <w:t xml:space="preserve">, per cui nelle procedure di bonifica </w:t>
      </w:r>
      <w:r w:rsidR="00804DA5">
        <w:t xml:space="preserve">che li riguardano </w:t>
      </w:r>
      <w:r>
        <w:t xml:space="preserve">sarebbe preferibile </w:t>
      </w:r>
      <w:r w:rsidR="00753A2D">
        <w:t>che le funzioni amministrative rimanessero in carico ad</w:t>
      </w:r>
      <w:r>
        <w:t xml:space="preserve"> enti territorialmente</w:t>
      </w:r>
      <w:r w:rsidR="00753A2D">
        <w:t xml:space="preserve"> più ampi come Regione stessa o le Province</w:t>
      </w:r>
      <w:r w:rsidR="00804DA5">
        <w:t>; se gli interventi connessi ai plume rimangono in carico ai Comuni dovrebbero essere attivati riferimenti specifici per l’attivazione di un supporto tecnico.</w:t>
      </w:r>
    </w:p>
    <w:p w14:paraId="5B7EC48D" w14:textId="11F4E1FA" w:rsidR="00753A2D" w:rsidRDefault="004C3841" w:rsidP="00D031E2">
      <w:pPr>
        <w:pStyle w:val="Paragrafoelenco"/>
        <w:numPr>
          <w:ilvl w:val="0"/>
          <w:numId w:val="9"/>
        </w:numPr>
        <w:spacing w:after="0" w:line="276" w:lineRule="auto"/>
        <w:jc w:val="both"/>
      </w:pPr>
      <w:r>
        <w:t>A proposito de</w:t>
      </w:r>
      <w:r w:rsidR="00753A2D">
        <w:t>ll’integrazione delle banche dati regionali all’interno delle piattaforme AGISCO e PSC si dice che “</w:t>
      </w:r>
      <w:r w:rsidR="00753A2D" w:rsidRPr="004C3841">
        <w:rPr>
          <w:i/>
          <w:iCs/>
        </w:rPr>
        <w:t xml:space="preserve">a questi sistemi </w:t>
      </w:r>
      <w:r w:rsidR="00753A2D" w:rsidRPr="004C3841">
        <w:rPr>
          <w:i/>
          <w:iCs/>
        </w:rPr>
        <w:t>si dovranno ricondurre le banche dati locali al fine di integrare e rendere interoperativi i sistemi di riferimento per tutte le attività di bonifica</w:t>
      </w:r>
      <w:r w:rsidR="00753A2D">
        <w:t xml:space="preserve">”: </w:t>
      </w:r>
      <w:r w:rsidR="00804DA5">
        <w:t>se questo significa</w:t>
      </w:r>
      <w:r w:rsidR="00753A2D">
        <w:t xml:space="preserve"> che eventuali banche dati comunali dovranno essere inglobate nei due sistemi indicati</w:t>
      </w:r>
      <w:r w:rsidR="00804DA5">
        <w:t>, andrebbero precisate le</w:t>
      </w:r>
      <w:r w:rsidR="00753A2D">
        <w:t xml:space="preserve"> modalità</w:t>
      </w:r>
      <w:r w:rsidR="00804DA5">
        <w:t xml:space="preserve"> operative e l’assunzione dei relativi costi da parte di Regione.</w:t>
      </w:r>
    </w:p>
    <w:p w14:paraId="0F5A3B87" w14:textId="5F592443" w:rsidR="00753A2D" w:rsidRDefault="004C3841" w:rsidP="00D031E2">
      <w:pPr>
        <w:pStyle w:val="Paragrafoelenco"/>
        <w:numPr>
          <w:ilvl w:val="0"/>
          <w:numId w:val="9"/>
        </w:numPr>
        <w:spacing w:after="0" w:line="276" w:lineRule="auto"/>
        <w:jc w:val="both"/>
      </w:pPr>
      <w:r>
        <w:t xml:space="preserve">Si </w:t>
      </w:r>
      <w:r w:rsidR="00753A2D">
        <w:t xml:space="preserve">chiede </w:t>
      </w:r>
      <w:r>
        <w:t>che l</w:t>
      </w:r>
      <w:r>
        <w:t xml:space="preserve">a deliberazione sulle </w:t>
      </w:r>
      <w:r w:rsidRPr="00E10B9C">
        <w:t>garanzie finanziarie per l’esecuzione degli interventi di bonifica (cauzioni/fidejussioni)</w:t>
      </w:r>
      <w:r>
        <w:t xml:space="preserve"> </w:t>
      </w:r>
      <w:r w:rsidR="00753A2D">
        <w:t>sia preceduta da una consultazione con il tavolo bonifiche di OECTE.</w:t>
      </w:r>
    </w:p>
    <w:p w14:paraId="2DFEA6CB" w14:textId="5BE3D084" w:rsidR="00753A2D" w:rsidRDefault="00753A2D" w:rsidP="004C3841">
      <w:pPr>
        <w:pStyle w:val="Paragrafoelenco"/>
        <w:numPr>
          <w:ilvl w:val="0"/>
          <w:numId w:val="9"/>
        </w:numPr>
        <w:spacing w:after="0" w:line="276" w:lineRule="auto"/>
        <w:jc w:val="both"/>
      </w:pPr>
      <w:r w:rsidRPr="00753A2D">
        <w:t>Per quanto attiene gli indirizzi riguardanti i criteri per la redazione dei progetti, Regione</w:t>
      </w:r>
      <w:r>
        <w:t xml:space="preserve"> dovrebbe coinvolgere, oltre agli ordini professionali e gli istituti di ricerca, anche </w:t>
      </w:r>
      <w:r w:rsidR="004C3841">
        <w:t xml:space="preserve">alcuni </w:t>
      </w:r>
      <w:r>
        <w:t>tecnici dei Comuni più attrezzati, cosicché i criteri siano effettivamente praticabili a livello comunale.</w:t>
      </w:r>
    </w:p>
    <w:p w14:paraId="0F7C23FA" w14:textId="77777777" w:rsidR="00753A2D" w:rsidRDefault="00753A2D" w:rsidP="00D031E2">
      <w:pPr>
        <w:jc w:val="both"/>
      </w:pPr>
    </w:p>
    <w:p w14:paraId="78319185" w14:textId="11BCB518" w:rsidR="00E10B9C" w:rsidRPr="00426F34" w:rsidRDefault="00E10B9C" w:rsidP="00D031E2">
      <w:pPr>
        <w:jc w:val="both"/>
        <w:rPr>
          <w:b/>
          <w:bCs/>
        </w:rPr>
      </w:pPr>
      <w:r w:rsidRPr="00426F34">
        <w:rPr>
          <w:b/>
          <w:bCs/>
        </w:rPr>
        <w:t xml:space="preserve">Funzioni di </w:t>
      </w:r>
      <w:r w:rsidR="00753A2D" w:rsidRPr="00426F34">
        <w:rPr>
          <w:b/>
          <w:bCs/>
        </w:rPr>
        <w:t>controllo</w:t>
      </w:r>
    </w:p>
    <w:p w14:paraId="00B91FC1" w14:textId="5B795F08" w:rsidR="00E10B9C" w:rsidRDefault="00753A2D" w:rsidP="00D031E2">
      <w:pPr>
        <w:jc w:val="both"/>
      </w:pPr>
      <w:r>
        <w:lastRenderedPageBreak/>
        <w:t>Viene previsto che</w:t>
      </w:r>
      <w:r w:rsidR="004C3841">
        <w:t>,</w:t>
      </w:r>
      <w:r>
        <w:t xml:space="preserve"> s</w:t>
      </w:r>
      <w:r w:rsidR="00E10B9C" w:rsidRPr="00E10B9C">
        <w:t>ulla base delle informazioni disponibili</w:t>
      </w:r>
      <w:r>
        <w:t xml:space="preserve"> su AGISCO (non anche PSC?), </w:t>
      </w:r>
      <w:r w:rsidR="00E10B9C" w:rsidRPr="00E10B9C">
        <w:t xml:space="preserve">ARPA, Regione, Province e Comuni producono semestralmente - entro giugno e dicembre di ogni anno - una relazione circa lo stato di avanzamento dei procedimenti di competenza inerenti </w:t>
      </w:r>
      <w:r w:rsidR="004C3841">
        <w:t>a</w:t>
      </w:r>
      <w:r w:rsidR="00E10B9C" w:rsidRPr="00E10B9C">
        <w:t>i siti da bonificare.</w:t>
      </w:r>
      <w:r w:rsidR="003A32D9">
        <w:t xml:space="preserve"> Se i dati sono convergenti in un unico data base</w:t>
      </w:r>
      <w:r w:rsidR="004C3841">
        <w:t>,</w:t>
      </w:r>
      <w:r w:rsidR="003A32D9">
        <w:t xml:space="preserve"> appare ridondante la produzione di relazioni da parte di tutti i livelli</w:t>
      </w:r>
      <w:r w:rsidR="004C3841">
        <w:t xml:space="preserve"> interessati</w:t>
      </w:r>
      <w:r w:rsidR="00426F34">
        <w:t xml:space="preserve">. Potrebbe essere prevista </w:t>
      </w:r>
      <w:r w:rsidR="009E42D3">
        <w:t>la</w:t>
      </w:r>
      <w:r w:rsidR="00426F34">
        <w:t xml:space="preserve"> sola relazione </w:t>
      </w:r>
      <w:r w:rsidR="009E42D3">
        <w:t xml:space="preserve">(semestrale o annuale) </w:t>
      </w:r>
      <w:r w:rsidR="00426F34">
        <w:t xml:space="preserve">di Regione Lombardia </w:t>
      </w:r>
      <w:r w:rsidR="009E42D3">
        <w:t>indicata a pag. 10.</w:t>
      </w:r>
    </w:p>
    <w:p w14:paraId="43D84C92" w14:textId="77777777" w:rsidR="004C3841" w:rsidRDefault="004C3841" w:rsidP="00D031E2">
      <w:pPr>
        <w:jc w:val="both"/>
      </w:pPr>
    </w:p>
    <w:p w14:paraId="6597544B" w14:textId="0641A9EB" w:rsidR="00E10B9C" w:rsidRDefault="00E10B9C" w:rsidP="00D031E2">
      <w:pPr>
        <w:jc w:val="both"/>
        <w:rPr>
          <w:b/>
          <w:bCs/>
        </w:rPr>
      </w:pPr>
      <w:r w:rsidRPr="00426F34">
        <w:rPr>
          <w:b/>
          <w:bCs/>
        </w:rPr>
        <w:t xml:space="preserve">Supporto tecnico-amministrativo </w:t>
      </w:r>
    </w:p>
    <w:p w14:paraId="57FCBA7F" w14:textId="29F72C33" w:rsidR="004C3841" w:rsidRPr="004C3841" w:rsidRDefault="004C3841" w:rsidP="00D031E2">
      <w:pPr>
        <w:jc w:val="both"/>
      </w:pPr>
      <w:r w:rsidRPr="004C3841">
        <w:t>In merito all’importantissimo supporto tecnico-amministrativo, si segnala:</w:t>
      </w:r>
    </w:p>
    <w:p w14:paraId="70A9B5AB" w14:textId="08EA5E26" w:rsidR="00B564F3" w:rsidRDefault="00426F34" w:rsidP="004C3841">
      <w:pPr>
        <w:pStyle w:val="Paragrafoelenco"/>
        <w:numPr>
          <w:ilvl w:val="0"/>
          <w:numId w:val="10"/>
        </w:numPr>
        <w:jc w:val="both"/>
      </w:pPr>
      <w:r>
        <w:t>La</w:t>
      </w:r>
      <w:r w:rsidR="00E10B9C" w:rsidRPr="00E10B9C">
        <w:t xml:space="preserve"> partecipazione da parte di ANCI Lombardia in rappresentanza dei Comuni lombardi al “Tavolo Bonifiche” dell’Osservatorio per l’Economia Circolare e la Transizione Ecologica</w:t>
      </w:r>
      <w:r>
        <w:t xml:space="preserve"> e al </w:t>
      </w:r>
      <w:r w:rsidR="008B692D" w:rsidRPr="008B692D">
        <w:t>Tavolo permanente di confronto con Province e Città Metropolitana di Milano, ANCI, ARPA, con la partecipazione degli Enti del SIREG</w:t>
      </w:r>
      <w:r>
        <w:t xml:space="preserve">, costituiscono sicuramente un fatto positivo ma (peraltro già in essere da alcuni anni) ma anche particolarmente </w:t>
      </w:r>
      <w:r w:rsidR="004C3841">
        <w:t>impegnativo per ANCI Lombardia,</w:t>
      </w:r>
      <w:r>
        <w:t xml:space="preserve"> in quanto la rappresentanza delle necessità di oltre 1500 Comuni appartenenti a realtà estremamente eterogenee richiede una preparazione tecnica specifica</w:t>
      </w:r>
      <w:r w:rsidR="004C3841">
        <w:t>.</w:t>
      </w:r>
    </w:p>
    <w:p w14:paraId="52969E89" w14:textId="34D8C264" w:rsidR="008B692D" w:rsidRDefault="001A2DBD" w:rsidP="004C3841">
      <w:pPr>
        <w:pStyle w:val="Paragrafoelenco"/>
        <w:numPr>
          <w:ilvl w:val="0"/>
          <w:numId w:val="10"/>
        </w:numPr>
        <w:jc w:val="both"/>
      </w:pPr>
      <w:r>
        <w:t xml:space="preserve">Sui tutti i </w:t>
      </w:r>
      <w:r w:rsidR="008B692D" w:rsidRPr="00426F34">
        <w:t xml:space="preserve">programmi formativi della “Scuola per l’Ambiente”, </w:t>
      </w:r>
      <w:r>
        <w:t>si chiede di poter coinvolgere ANCI Lombardia sia in fase programmatoria sia in fase di comunicazione.</w:t>
      </w:r>
    </w:p>
    <w:p w14:paraId="332C4F7D" w14:textId="7D6CA7DB" w:rsidR="008112CE" w:rsidRPr="00426F34" w:rsidRDefault="001A2DBD" w:rsidP="004C3841">
      <w:pPr>
        <w:pStyle w:val="Paragrafoelenco"/>
        <w:numPr>
          <w:ilvl w:val="0"/>
          <w:numId w:val="10"/>
        </w:numPr>
        <w:jc w:val="both"/>
      </w:pPr>
      <w:r>
        <w:t>Anche sul</w:t>
      </w:r>
      <w:r w:rsidR="008112CE" w:rsidRPr="00426F34">
        <w:t xml:space="preserve"> </w:t>
      </w:r>
      <w:r w:rsidR="00A42AF2">
        <w:t>v</w:t>
      </w:r>
      <w:r w:rsidR="008112CE" w:rsidRPr="00426F34">
        <w:t>ademecum destinato al personale tecnico ed amministrativo dei soggetti istituzionali competenti in materia, con specifico riferimento ai Comuni di modeste dimensioni</w:t>
      </w:r>
      <w:r>
        <w:t>, ANCI Lombardia si rende disponibile a collaborare alla sua definizione.</w:t>
      </w:r>
    </w:p>
    <w:p w14:paraId="679733EC" w14:textId="619B2F7F" w:rsidR="00E10B9C" w:rsidRDefault="001A2DBD" w:rsidP="004C3841">
      <w:pPr>
        <w:pStyle w:val="Paragrafoelenco"/>
        <w:numPr>
          <w:ilvl w:val="0"/>
          <w:numId w:val="10"/>
        </w:numPr>
        <w:jc w:val="both"/>
      </w:pPr>
      <w:r>
        <w:t>Non è chiaro se i sistemi AGISCO e PSC sono integrati o distinti, perché l’eventuale duplicazione degli adempimenti di caricamento dati costituirebbe un onere estremamente gravoso per i Comuni, per cui si ritiene che debba essere assolutamente evitato.</w:t>
      </w:r>
    </w:p>
    <w:p w14:paraId="114F7C60" w14:textId="4DDCB2C5" w:rsidR="008112CE" w:rsidRDefault="00A42AF2" w:rsidP="004C3841">
      <w:pPr>
        <w:pStyle w:val="Paragrafoelenco"/>
        <w:numPr>
          <w:ilvl w:val="0"/>
          <w:numId w:val="10"/>
        </w:numPr>
        <w:jc w:val="both"/>
      </w:pPr>
      <w:r w:rsidRPr="00A42AF2">
        <w:t xml:space="preserve">La partecipazione di ARPA Lombardia ai procedimenti di bonifica di particolare complessità è essenziale per cui dovrebbe essere statuito con certezza che ARPA partecipa </w:t>
      </w:r>
      <w:r w:rsidRPr="00651E37">
        <w:t>sempre</w:t>
      </w:r>
      <w:r w:rsidRPr="00A42AF2">
        <w:t xml:space="preserve"> </w:t>
      </w:r>
      <w:r w:rsidR="008112CE" w:rsidRPr="00A42AF2">
        <w:t>alle riunioni della conferenza dei servizi per supportare i funzionari comunali nel confronto dialettico con i professionisti di parte</w:t>
      </w:r>
      <w:r w:rsidRPr="00A42AF2">
        <w:t xml:space="preserve"> nelle</w:t>
      </w:r>
      <w:r w:rsidR="008112CE" w:rsidRPr="00A42AF2">
        <w:t xml:space="preserve"> situazioni</w:t>
      </w:r>
      <w:r w:rsidRPr="00A42AF2">
        <w:t xml:space="preserve"> indicate (</w:t>
      </w:r>
      <w:r w:rsidR="008112CE" w:rsidRPr="00A42AF2">
        <w:t>Comuni con meno di 10.000 abitanti;</w:t>
      </w:r>
      <w:r w:rsidRPr="00A42AF2">
        <w:t xml:space="preserve"> </w:t>
      </w:r>
      <w:r w:rsidR="008112CE" w:rsidRPr="00A42AF2">
        <w:t>Comuni con più di 10.000 abitanti ma con presenza nel territorio di impianti industriali chimici, siderurgici, metalmeccanici, di gestione rifiuti o discariche e cave a rilevante rischio ambientale</w:t>
      </w:r>
      <w:r w:rsidRPr="00A42AF2">
        <w:t>)</w:t>
      </w:r>
    </w:p>
    <w:p w14:paraId="76E70C0D" w14:textId="7870A0A2" w:rsidR="00A42AF2" w:rsidRPr="00841318" w:rsidRDefault="00A42AF2" w:rsidP="004C3841">
      <w:pPr>
        <w:pStyle w:val="Paragrafoelenco"/>
        <w:numPr>
          <w:ilvl w:val="0"/>
          <w:numId w:val="10"/>
        </w:numPr>
        <w:jc w:val="both"/>
      </w:pPr>
      <w:r w:rsidRPr="00841318">
        <w:t xml:space="preserve">L’estensione del ruolo di Aria SpA come </w:t>
      </w:r>
      <w:r w:rsidR="008112CE" w:rsidRPr="00841318">
        <w:t>centrale di committenza per l’affidamento degli incarichi di progettazione e di esecuzione dei lavori di bonifica</w:t>
      </w:r>
      <w:r w:rsidRPr="00841318">
        <w:t xml:space="preserve"> di competenza comunale appare molto positivo ma deve essere attuato su base volontaria perché alcuni Comuni hanno già affinato proprie procedure consolidate; esso dovrebbe peraltro essere utilizzabile da tutti i Comuni, non solo quelli di piccole dimensioni.</w:t>
      </w:r>
    </w:p>
    <w:p w14:paraId="3C5FA213" w14:textId="29650D9F" w:rsidR="008112CE" w:rsidRDefault="00A42AF2" w:rsidP="004C3841">
      <w:pPr>
        <w:pStyle w:val="Paragrafoelenco"/>
        <w:numPr>
          <w:ilvl w:val="0"/>
          <w:numId w:val="10"/>
        </w:numPr>
        <w:jc w:val="both"/>
      </w:pPr>
      <w:r w:rsidRPr="00841318">
        <w:t>Il rilevamento</w:t>
      </w:r>
      <w:r w:rsidR="008112CE" w:rsidRPr="00841318">
        <w:t xml:space="preserve"> </w:t>
      </w:r>
      <w:r w:rsidRPr="00841318">
        <w:t xml:space="preserve">(si suppone annuale) </w:t>
      </w:r>
      <w:r w:rsidR="008112CE" w:rsidRPr="00841318">
        <w:t xml:space="preserve">del fabbisogno complessivo dei Comuni in ordine agli affidamenti di incarichi a progettisti per lavori di bonifica e per l’esecuzione degli stessi – </w:t>
      </w:r>
      <w:r w:rsidRPr="00841318">
        <w:t>attuato</w:t>
      </w:r>
      <w:r w:rsidR="008112CE" w:rsidRPr="00841318">
        <w:t xml:space="preserve"> con il coinvolgimento di ANCI Lombardia</w:t>
      </w:r>
      <w:r w:rsidR="00651E37">
        <w:t xml:space="preserve">, </w:t>
      </w:r>
      <w:r w:rsidRPr="00841318">
        <w:t>che farebbe da</w:t>
      </w:r>
      <w:r w:rsidR="008112CE" w:rsidRPr="00841318">
        <w:t xml:space="preserve"> tramite </w:t>
      </w:r>
      <w:r w:rsidRPr="00841318">
        <w:t>per la trasmissione del</w:t>
      </w:r>
      <w:r w:rsidR="008112CE" w:rsidRPr="00841318">
        <w:t xml:space="preserve"> fabbisogno ad ARIA</w:t>
      </w:r>
      <w:r w:rsidR="00651E37">
        <w:t>,</w:t>
      </w:r>
      <w:r w:rsidR="008112CE" w:rsidRPr="00841318">
        <w:t xml:space="preserve"> </w:t>
      </w:r>
      <w:r w:rsidRPr="00841318">
        <w:t>costituisce un’attività estremamente gravosa che richiede personale dedicato e specializzato che</w:t>
      </w:r>
      <w:r w:rsidR="00651E37">
        <w:t xml:space="preserve"> </w:t>
      </w:r>
      <w:r w:rsidRPr="00841318">
        <w:t xml:space="preserve">ANCI Lombardia può acquisire dall’esterno ma </w:t>
      </w:r>
      <w:r w:rsidR="00841318" w:rsidRPr="00841318">
        <w:t>non può sostenere economicamente</w:t>
      </w:r>
      <w:r w:rsidR="008112CE" w:rsidRPr="00841318">
        <w:t xml:space="preserve">.          </w:t>
      </w:r>
    </w:p>
    <w:p w14:paraId="283FC32F" w14:textId="77777777" w:rsidR="00D031E2" w:rsidRDefault="00D031E2" w:rsidP="00D031E2">
      <w:pPr>
        <w:jc w:val="both"/>
      </w:pPr>
    </w:p>
    <w:p w14:paraId="281D4B00" w14:textId="2C5F1195" w:rsidR="008112CE" w:rsidRPr="009E42D3" w:rsidRDefault="008112CE" w:rsidP="00D031E2">
      <w:pPr>
        <w:jc w:val="both"/>
        <w:rPr>
          <w:b/>
          <w:bCs/>
        </w:rPr>
      </w:pPr>
      <w:r w:rsidRPr="009E42D3">
        <w:rPr>
          <w:b/>
          <w:bCs/>
        </w:rPr>
        <w:t xml:space="preserve">Esercizio dei poteri sostitutivi  </w:t>
      </w:r>
    </w:p>
    <w:p w14:paraId="22A4D21C" w14:textId="3E6544B7" w:rsidR="008112CE" w:rsidRDefault="009E42D3" w:rsidP="00D031E2">
      <w:pPr>
        <w:jc w:val="both"/>
      </w:pPr>
      <w:r>
        <w:lastRenderedPageBreak/>
        <w:t xml:space="preserve">Il procedimento indicato, da attuarsi in caso di inadempimento del Comune rilevato dalle relazioni annuali (in questa parte del documento si parla di relazioni annuali, in altra di relazioni semestrali), è accettabile; andrebbe invece meglio precisata la procedura susseguente a “segnalazioni” </w:t>
      </w:r>
      <w:r w:rsidRPr="009E42D3">
        <w:t>(“</w:t>
      </w:r>
      <w:r w:rsidR="008112CE" w:rsidRPr="004C3841">
        <w:rPr>
          <w:i/>
          <w:iCs/>
        </w:rPr>
        <w:t>Eventuali segnalazioni circostanziate riguardanti una possibile inerzia nell’esercizio delle funzioni assegnate ai Comuni saranno prese in considerazione</w:t>
      </w:r>
      <w:r w:rsidRPr="009E42D3">
        <w:t>”)</w:t>
      </w:r>
      <w:r>
        <w:t>, in quanto la segnalazione di inadempimento (presumibilmente da parte dell’operatore</w:t>
      </w:r>
      <w:r w:rsidR="00651E37">
        <w:t xml:space="preserve"> privata</w:t>
      </w:r>
      <w:r>
        <w:t xml:space="preserve">) deve prevedere una fase istruttoria </w:t>
      </w:r>
      <w:r w:rsidR="00D031E2">
        <w:t>più ampia che consenta al Comune di rispondere ai contenuti della segnalazione.</w:t>
      </w:r>
    </w:p>
    <w:p w14:paraId="77C9A1D9" w14:textId="77777777" w:rsidR="004C3841" w:rsidRDefault="004C3841" w:rsidP="00D031E2">
      <w:pPr>
        <w:jc w:val="both"/>
      </w:pPr>
    </w:p>
    <w:p w14:paraId="429FAE93" w14:textId="1DFA99E1" w:rsidR="008112CE" w:rsidRPr="009E42D3" w:rsidRDefault="009E42D3" w:rsidP="00D031E2">
      <w:pPr>
        <w:jc w:val="both"/>
        <w:rPr>
          <w:b/>
          <w:bCs/>
        </w:rPr>
      </w:pPr>
      <w:r w:rsidRPr="009E42D3">
        <w:rPr>
          <w:b/>
          <w:bCs/>
        </w:rPr>
        <w:t>Estensione del supporto amministrativo ai procedimenti d’ufficio</w:t>
      </w:r>
    </w:p>
    <w:p w14:paraId="7F095B96" w14:textId="5771A35F" w:rsidR="00B564F3" w:rsidRDefault="00A42AF2" w:rsidP="00D031E2">
      <w:pPr>
        <w:jc w:val="both"/>
      </w:pPr>
      <w:r>
        <w:t>Ultima</w:t>
      </w:r>
      <w:r w:rsidR="00B564F3">
        <w:t xml:space="preserve"> osservazione: la delibera interessa solo i procedimenti </w:t>
      </w:r>
      <w:r w:rsidR="004C52B9">
        <w:t>di cui all’art. 242 e 242 bis del D. Lgs 152/2006; è possibile immaginare che il supporto tecnico-amministrativo si estenda anche ai procedimenti di cui all’art. 250 (bonifica d’ufficio)?</w:t>
      </w:r>
    </w:p>
    <w:p w14:paraId="220C9E26" w14:textId="77777777" w:rsidR="00B564F3" w:rsidRDefault="00B564F3" w:rsidP="00D031E2">
      <w:pPr>
        <w:jc w:val="both"/>
      </w:pPr>
    </w:p>
    <w:sectPr w:rsidR="00B56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80B"/>
    <w:multiLevelType w:val="hybridMultilevel"/>
    <w:tmpl w:val="2DA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68A"/>
    <w:multiLevelType w:val="hybridMultilevel"/>
    <w:tmpl w:val="836893B0"/>
    <w:lvl w:ilvl="0" w:tplc="31026E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A782E"/>
    <w:multiLevelType w:val="hybridMultilevel"/>
    <w:tmpl w:val="CE9A8E3A"/>
    <w:lvl w:ilvl="0" w:tplc="D36C80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4D59"/>
    <w:multiLevelType w:val="hybridMultilevel"/>
    <w:tmpl w:val="6D0E54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4790C"/>
    <w:multiLevelType w:val="hybridMultilevel"/>
    <w:tmpl w:val="16C630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81579"/>
    <w:multiLevelType w:val="hybridMultilevel"/>
    <w:tmpl w:val="12302C26"/>
    <w:lvl w:ilvl="0" w:tplc="9992EF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E44E8"/>
    <w:multiLevelType w:val="hybridMultilevel"/>
    <w:tmpl w:val="58FAF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751F"/>
    <w:multiLevelType w:val="hybridMultilevel"/>
    <w:tmpl w:val="D160E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D445B"/>
    <w:multiLevelType w:val="hybridMultilevel"/>
    <w:tmpl w:val="3D2C32FA"/>
    <w:lvl w:ilvl="0" w:tplc="C7E0591A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F3517A"/>
    <w:multiLevelType w:val="hybridMultilevel"/>
    <w:tmpl w:val="1262A3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855845">
    <w:abstractNumId w:val="3"/>
  </w:num>
  <w:num w:numId="2" w16cid:durableId="268783093">
    <w:abstractNumId w:val="1"/>
  </w:num>
  <w:num w:numId="3" w16cid:durableId="127170273">
    <w:abstractNumId w:val="2"/>
  </w:num>
  <w:num w:numId="4" w16cid:durableId="389574412">
    <w:abstractNumId w:val="4"/>
  </w:num>
  <w:num w:numId="5" w16cid:durableId="2088110860">
    <w:abstractNumId w:val="8"/>
  </w:num>
  <w:num w:numId="6" w16cid:durableId="966937527">
    <w:abstractNumId w:val="9"/>
  </w:num>
  <w:num w:numId="7" w16cid:durableId="1617563845">
    <w:abstractNumId w:val="7"/>
  </w:num>
  <w:num w:numId="8" w16cid:durableId="424035504">
    <w:abstractNumId w:val="5"/>
  </w:num>
  <w:num w:numId="9" w16cid:durableId="980429155">
    <w:abstractNumId w:val="0"/>
  </w:num>
  <w:num w:numId="10" w16cid:durableId="10644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4F3"/>
    <w:rsid w:val="001A2DBD"/>
    <w:rsid w:val="0020245C"/>
    <w:rsid w:val="002B5471"/>
    <w:rsid w:val="003A32D9"/>
    <w:rsid w:val="00426F34"/>
    <w:rsid w:val="004C3841"/>
    <w:rsid w:val="004C52B9"/>
    <w:rsid w:val="00566240"/>
    <w:rsid w:val="0059152E"/>
    <w:rsid w:val="00651E37"/>
    <w:rsid w:val="00753A2D"/>
    <w:rsid w:val="00804DA5"/>
    <w:rsid w:val="008112CE"/>
    <w:rsid w:val="00841318"/>
    <w:rsid w:val="008B692D"/>
    <w:rsid w:val="008F38EC"/>
    <w:rsid w:val="009E42D3"/>
    <w:rsid w:val="00A42AF2"/>
    <w:rsid w:val="00B564F3"/>
    <w:rsid w:val="00D031E2"/>
    <w:rsid w:val="00E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CB2"/>
  <w15:docId w15:val="{FA017FDA-6C58-495C-AF5A-1B4CD82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4F3"/>
    <w:pPr>
      <w:ind w:left="720"/>
      <w:contextualSpacing/>
    </w:pPr>
  </w:style>
  <w:style w:type="paragraph" w:styleId="Nessunaspaziatura">
    <w:name w:val="No Spacing"/>
    <w:uiPriority w:val="1"/>
    <w:qFormat/>
    <w:rsid w:val="008112CE"/>
    <w:pPr>
      <w:spacing w:after="0" w:line="240" w:lineRule="auto"/>
    </w:pPr>
    <w:rPr>
      <w:rFonts w:ascii="Calibri" w:eastAsia="Times New Roman" w:hAnsi="Calibri" w:cs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Binelli</dc:creator>
  <cp:keywords/>
  <dc:description/>
  <cp:lastModifiedBy>Fabio Binelli</cp:lastModifiedBy>
  <cp:revision>7</cp:revision>
  <dcterms:created xsi:type="dcterms:W3CDTF">2024-01-18T10:13:00Z</dcterms:created>
  <dcterms:modified xsi:type="dcterms:W3CDTF">2024-01-18T14:22:00Z</dcterms:modified>
</cp:coreProperties>
</file>